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03" w:rsidRDefault="009E0B03" w:rsidP="00733C5C">
      <w:pPr>
        <w:spacing w:line="240" w:lineRule="auto"/>
      </w:pPr>
      <w:r>
        <w:separator/>
      </w:r>
    </w:p>
  </w:endnote>
  <w:endnote w:type="continuationSeparator" w:id="0">
    <w:p w:rsidR="009E0B03" w:rsidRDefault="009E0B03"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03" w:rsidRDefault="009E0B03" w:rsidP="00733C5C">
      <w:pPr>
        <w:spacing w:line="240" w:lineRule="auto"/>
      </w:pPr>
      <w:r>
        <w:separator/>
      </w:r>
    </w:p>
  </w:footnote>
  <w:footnote w:type="continuationSeparator" w:id="0">
    <w:p w:rsidR="009E0B03" w:rsidRDefault="009E0B03"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B608DD" w:rsidP="00C345C8">
          <w:pPr>
            <w:pStyle w:val="stbilgi"/>
            <w:jc w:val="center"/>
            <w:rPr>
              <w:sz w:val="20"/>
              <w:szCs w:val="20"/>
            </w:rPr>
          </w:pPr>
          <w:r>
            <w:rPr>
              <w:sz w:val="20"/>
              <w:szCs w:val="20"/>
            </w:rPr>
            <w:t>SB. FR. 059</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B608DD">
          <w:pPr>
            <w:pStyle w:val="stbilgi"/>
            <w:spacing w:line="256" w:lineRule="auto"/>
            <w:jc w:val="center"/>
            <w:rPr>
              <w:sz w:val="20"/>
              <w:szCs w:val="20"/>
            </w:rPr>
          </w:pPr>
          <w:r>
            <w:rPr>
              <w:sz w:val="20"/>
              <w:szCs w:val="20"/>
            </w:rPr>
            <w:t>20.07.2020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B608D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472368">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472368">
            <w:rPr>
              <w:rStyle w:val="SayfaNumaras"/>
              <w:noProof/>
              <w:sz w:val="20"/>
              <w:szCs w:val="20"/>
            </w:rPr>
            <w:t>24</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2368"/>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0B03"/>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936F-4F6C-4093-B88D-05E3CB37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7565</Words>
  <Characters>43126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MesutKORKMAZ</cp:lastModifiedBy>
  <cp:revision>2</cp:revision>
  <cp:lastPrinted>2017-08-08T11:56:00Z</cp:lastPrinted>
  <dcterms:created xsi:type="dcterms:W3CDTF">2020-08-07T12:24:00Z</dcterms:created>
  <dcterms:modified xsi:type="dcterms:W3CDTF">2020-08-07T12:24:00Z</dcterms:modified>
</cp:coreProperties>
</file>